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7"/>
        </w:rPr>
        <w:t>附件</w:t>
      </w:r>
      <w:r>
        <w:rPr>
          <w:rFonts w:hint="eastAsia" w:ascii="宋体" w:hAnsi="宋体" w:eastAsia="宋体" w:cs="宋体"/>
        </w:rPr>
        <w:t>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50" w:after="0" w:afterLines="50" w:line="240" w:lineRule="auto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72"/>
        </w:rPr>
        <w:t>年</w:t>
      </w:r>
      <w:r>
        <w:rPr>
          <w:rFonts w:hint="eastAsia" w:ascii="方正小标宋简体" w:hAnsi="方正小标宋简体" w:eastAsia="方正小标宋简体" w:cs="方正小标宋简体"/>
        </w:rPr>
        <w:t>1-7</w:t>
      </w:r>
      <w:r>
        <w:rPr>
          <w:rFonts w:hint="eastAsia" w:ascii="方正小标宋简体" w:hAnsi="方正小标宋简体" w:eastAsia="方正小标宋简体" w:cs="方正小标宋简体"/>
          <w:spacing w:val="-11"/>
        </w:rPr>
        <w:t>月州重点建设项目问题清单</w:t>
      </w:r>
      <w:bookmarkEnd w:id="0"/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20"/>
        <w:gridCol w:w="884"/>
        <w:gridCol w:w="772"/>
        <w:gridCol w:w="624"/>
        <w:gridCol w:w="4090"/>
        <w:gridCol w:w="2475"/>
        <w:gridCol w:w="1634"/>
        <w:gridCol w:w="1489"/>
        <w:gridCol w:w="825"/>
        <w:gridCol w:w="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项目地址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建设阶段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预计解决时限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吉首市矮寨云顶旅游度假区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吉首市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新建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项目用地在德夯风景名胜区、省地质公园、金雕保护区范围，项目核准程序较长，建议协调省自然资源厅、省林业厅办理项目用地用林和规划选址意见。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正在调整设计方案，明确规划用地后，对接州自然资源局、州林业局。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州自然资源局、州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林业局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吉首市天行健文化旅游投资开发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有限责任公司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1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泸溪县沅江水环境治理EOD项目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泸溪县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新开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EOD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项目入库要求，每个县申报项目不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能超过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个，申报额度不超过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亿元。因此，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每个项目包装一般都会超过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亿元，但我省文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件要求，2亿元以上项目须到省发改委审批，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程序复杂，立项周期长。2.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我县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EOD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项目以沅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水和武水治理作为谋划方向，但受湿地公园、风景名胜地等“三区三线”的制约，项目选址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较难。3.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项目额度计划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亿元，前期工作费用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7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4000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万元，因县财政困难，前期工作费用难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以及时足额到位，影响项目推进。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选址初步确定，正在编制方案。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州发改委、州自然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资源局、州财政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局、州林业局、州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水利局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泸溪县发展和改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革局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1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泸溪县分输阀室及至辰溪燃气管网连接线（泸溪段）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泸溪县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新开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1.长输管网管道线路的铺设不得不经过生态红线、矿区和水源保护地等，需要帮助协调办理以上审批手续；2.因项目建设方是国家管网集团湖南省天然气管网有限公司，项目建设的进度需要帮助协调督促。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州发改委、州自然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资源局、州林业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局、州水利局、州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生态环境局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泸溪县发展和改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革局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1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0"/>
        </w:rPr>
        <w:sectPr>
          <w:footerReference r:id="rId5" w:type="default"/>
          <w:footerReference r:id="rId6" w:type="even"/>
          <w:type w:val="continuous"/>
          <w:pgSz w:w="16840" w:h="11910" w:orient="landscape"/>
          <w:pgMar w:top="1600" w:right="620" w:bottom="1300" w:left="620" w:header="720" w:footer="720" w:gutter="0"/>
          <w:cols w:space="720" w:num="1"/>
        </w:sect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20"/>
        <w:gridCol w:w="884"/>
        <w:gridCol w:w="772"/>
        <w:gridCol w:w="624"/>
        <w:gridCol w:w="4090"/>
        <w:gridCol w:w="2475"/>
        <w:gridCol w:w="1634"/>
        <w:gridCol w:w="1489"/>
        <w:gridCol w:w="825"/>
        <w:gridCol w:w="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项目地址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建设阶段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预计解决时限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武陵山区湘西港航运枢纽（二期）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113000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泸溪县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续建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1.项目建设涉及河湖划界审批，需要水利部门帮助协调解决审批手续；2.项目建设缺口资金大，需要资金支持；3.项目立项需要州财政出具资金审查意见。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1.关于河湖划界正在进行防洪评估，通过则可解决审批手续。2.资金缺口任然存在。3.州财政已出具资金审查意见。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州发改委、州水利局、州财政局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泸溪高新技术产业开发区管理委员会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铜仁—吉首高铁客运专线（州内段）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537600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凤凰县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新建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项目可研审批前置条件基本完成，但目前国铁集团仍在进行可研内审，暂未上报国家发改委报批，进度迟缓。请求省里相关部门、州人民政府领导加大项目协调推进跟踪力度，加快立项程序进程。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州发改委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凤凰县人民政府凤凰县铜吉铁路指挥部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吴树宏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怀邵衡铁路公司王培新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古丈县宏源钒业产业园项目（一期）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古丈县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续建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采矿权办理时间过长。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州自然资源局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古丈县科技和工业信息化局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碗米坡抽水蓄能开发项目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600000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保靖县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前期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存在的问题：该项目面临国家对抽水蓄能项目普查、省级层面能源结构规划面临重新调整等问题，虽然该项目已进入国家重点项目储备库，但无法立项。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1、督促五凌公司尽快完成省州职能部门关于限制性因素排查意见；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2、尽快完善《勘察地址设计报告》；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3、协调保靖县碗米坡抽水蓄能电站进入国家实施库并立项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加强向上汇报对接。抓紧完成省州职能部门关于限制性因素排查意见；抓紧完善需求分析论证；抓紧取得区域或省级电网公司的明确意见；抓紧获得水库主管部门的支持性文件。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州发改委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保靖县人民政府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0"/>
        </w:rPr>
        <w:sectPr>
          <w:pgSz w:w="16840" w:h="11910" w:orient="landscape"/>
          <w:pgMar w:top="1100" w:right="620" w:bottom="1220" w:left="620" w:header="0" w:footer="1033" w:gutter="0"/>
          <w:cols w:space="720" w:num="1"/>
        </w:sect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20"/>
        <w:gridCol w:w="884"/>
        <w:gridCol w:w="772"/>
        <w:gridCol w:w="624"/>
        <w:gridCol w:w="4090"/>
        <w:gridCol w:w="2475"/>
        <w:gridCol w:w="1634"/>
        <w:gridCol w:w="1489"/>
        <w:gridCol w:w="825"/>
        <w:gridCol w:w="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项目地址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建设阶段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预计解决时限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酒鬼酒生产三区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（一期）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88200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续建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前生产三区一期工程均已进入设备安装和装修阶段。其中1#酿酒车间的筑窖工序，因筑窖黄土质量要求高（不能为种植土，也不能含砂石），且需求土方量大，吉首地区目前没有相关建设项目开工，无大量可挖取的合格黄土。请求允许再生产三区周边已征收土地上挖取黄土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吉首市自然资源局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酒鬼酒股份有限公司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酒鬼酒生态文化产业园三眼泉项目及配套工程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57900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前期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推进新征地报批及征地、挂牌出让准备工作，希望成立一个三眼泉项目供地小组，协调推进以下事项：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确定供地计划实施的节点计划：土地转性、征转审批时间、土地出让计划省厅审批时间、土地征迁完成时间、土地价格确定、土地挂牌、摘牌时间。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确定三眼泉项目及配套工程建筑设计方案规委会审批时间安排。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吉首市自然资源局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酒鬼酒股份有限公司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0"/>
        </w:rPr>
        <w:sectPr>
          <w:pgSz w:w="16840" w:h="11910" w:orient="landscape"/>
          <w:pgMar w:top="1100" w:right="620" w:bottom="1220" w:left="620" w:header="0" w:footer="1033" w:gutter="0"/>
          <w:cols w:space="720" w:num="1"/>
        </w:sect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20"/>
        <w:gridCol w:w="884"/>
        <w:gridCol w:w="772"/>
        <w:gridCol w:w="624"/>
        <w:gridCol w:w="4090"/>
        <w:gridCol w:w="2475"/>
        <w:gridCol w:w="1634"/>
        <w:gridCol w:w="1489"/>
        <w:gridCol w:w="825"/>
        <w:gridCol w:w="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项目地址</w:t>
            </w:r>
          </w:p>
        </w:tc>
        <w:tc>
          <w:tcPr>
            <w:tcW w:w="62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建设阶段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4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预计解决时限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</w:trPr>
        <w:tc>
          <w:tcPr>
            <w:tcW w:w="480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寨水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库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337000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续建</w:t>
            </w: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1、征拆搬迁问题：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照项目施工计划安排，要实现9月份进行截流，但目前涉及区域内的居民搬迁工作尚未完成，制约了项目推进，请吉首市人民政府加快推进移民安置工程建设，明确专人定期报送工作完成情况，确保项目施工进度不受影响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正在有序开展，预计8月底完成截流以上移民搬迁工作，确保项目有序推进。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吉首市人民政府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州国有资产投资经营有限责任公司州吉兴开发投资有限公司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州水利局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2、征拆问题：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进场公路2号桥位置附近存在3栋房屋的搬迁工作尚未完成，制约了项目的施工，请吉首市人民政府在5月15日前，拿出具体工作方案，尽快解决有关问题。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8月初完成征拆协议签订，中旬拆除3栋房屋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吉首市人民政府</w:t>
            </w:r>
          </w:p>
        </w:tc>
        <w:tc>
          <w:tcPr>
            <w:tcW w:w="1489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5月15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0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3、杆线搬迁问题：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项目红线内大坝右侧存在10千伏杆线搬迁工作尚未完成，制约了项目推进，请国网湘西供电公司商吉首市人民政府，在5月15日前，拿出具体工作方案，尽快解决有关问题。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已签订杆线搬迁施工合同，正在有序推进杆线搬迁施工准备工作。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国网湘西供电公司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吉首市人民政府</w:t>
            </w:r>
          </w:p>
        </w:tc>
        <w:tc>
          <w:tcPr>
            <w:tcW w:w="1489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5月15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0"/>
        </w:rPr>
        <w:sectPr>
          <w:pgSz w:w="16840" w:h="11910" w:orient="landscape"/>
          <w:pgMar w:top="1100" w:right="620" w:bottom="1220" w:left="620" w:header="0" w:footer="1033" w:gutter="0"/>
          <w:cols w:space="720" w:num="1"/>
        </w:sectPr>
      </w:pPr>
    </w:p>
    <w:tbl>
      <w:tblPr>
        <w:tblStyle w:val="6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19"/>
        <w:gridCol w:w="884"/>
        <w:gridCol w:w="772"/>
        <w:gridCol w:w="626"/>
        <w:gridCol w:w="4089"/>
        <w:gridCol w:w="2475"/>
        <w:gridCol w:w="1634"/>
        <w:gridCol w:w="1490"/>
        <w:gridCol w:w="825"/>
        <w:gridCol w:w="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项目地址</w:t>
            </w:r>
          </w:p>
        </w:tc>
        <w:tc>
          <w:tcPr>
            <w:tcW w:w="6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建设阶段</w:t>
            </w:r>
          </w:p>
        </w:tc>
        <w:tc>
          <w:tcPr>
            <w:tcW w:w="40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4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预计解决时限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3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11</w:t>
            </w:r>
          </w:p>
        </w:tc>
        <w:tc>
          <w:tcPr>
            <w:tcW w:w="151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泸溪县殡仪馆及公墓山建设项目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泸溪县</w:t>
            </w:r>
          </w:p>
        </w:tc>
        <w:tc>
          <w:tcPr>
            <w:tcW w:w="6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续建</w:t>
            </w:r>
          </w:p>
        </w:tc>
        <w:tc>
          <w:tcPr>
            <w:tcW w:w="40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建设规划用地在林地上，因原有政策规定，公墓建设不能建在林地上，政策未发生改变，造成公墓建设无法正常实施。请泸溪县人民政府协调有关单位，尽快研究，于5月底前拿出具体工作方案，妥善解决有关问题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因省民政厅行业文件规定，公墓山不能占用林地，经多次与省厅沟通任无法解决，请求州民政局协调解决。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州民政局</w:t>
            </w:r>
          </w:p>
        </w:tc>
        <w:tc>
          <w:tcPr>
            <w:tcW w:w="14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泸溪县民政局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151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花垣县诚兴商业综合体项目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80000</w:t>
            </w:r>
          </w:p>
        </w:tc>
        <w:tc>
          <w:tcPr>
            <w:tcW w:w="77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花垣县</w:t>
            </w:r>
          </w:p>
        </w:tc>
        <w:tc>
          <w:tcPr>
            <w:tcW w:w="6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续建</w:t>
            </w:r>
          </w:p>
        </w:tc>
        <w:tc>
          <w:tcPr>
            <w:tcW w:w="408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项目用地（3#地块）存在土地产权纠纷，制约了项目建设，请花垣县人民政府督促有关单位于5月底前，协调解决到位。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马继国副县长及专班多次调度乌龟堡项目推进情况，目前该项目开工仅剩两户征拆问题，明确成立专班，县住建局牵头、县自然资源局（征拆办）、花垣镇正在加快3号地块剩余两户房屋征拆补偿工作。</w:t>
            </w:r>
          </w:p>
        </w:tc>
        <w:tc>
          <w:tcPr>
            <w:tcW w:w="16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花垣县人民政府</w:t>
            </w:r>
          </w:p>
        </w:tc>
        <w:tc>
          <w:tcPr>
            <w:tcW w:w="14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花垣县商务局</w:t>
            </w:r>
          </w:p>
        </w:tc>
        <w:tc>
          <w:tcPr>
            <w:tcW w:w="8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5月</w:t>
            </w:r>
          </w:p>
        </w:tc>
        <w:tc>
          <w:tcPr>
            <w:tcW w:w="57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sz w:val="28"/>
        </w:rPr>
      </w:pPr>
    </w:p>
    <w:sectPr>
      <w:footerReference r:id="rId7" w:type="default"/>
      <w:pgSz w:w="16840" w:h="11910" w:orient="landscape"/>
      <w:pgMar w:top="1580" w:right="1600" w:bottom="1280" w:left="2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思源黑体 Heavy">
    <w:panose1 w:val="020B0A00000000000000"/>
    <w:charset w:val="86"/>
    <w:family w:val="auto"/>
    <w:pitch w:val="default"/>
    <w:sig w:usb0="30000083" w:usb1="2BDF3C10" w:usb2="00000016" w:usb3="00000000" w:csb0="602E0107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mUwMTA4NzQxNjI4MzUxY2I1ZmU0YzBlNjE1YzVhNjYifQ=="/>
  </w:docVars>
  <w:rsids>
    <w:rsidRoot w:val="00000000"/>
    <w:rsid w:val="11A0203A"/>
    <w:rsid w:val="204439BB"/>
    <w:rsid w:val="2ED022C0"/>
    <w:rsid w:val="3D711112"/>
    <w:rsid w:val="49F44C5D"/>
    <w:rsid w:val="5470546F"/>
    <w:rsid w:val="58226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79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before="267"/>
      <w:ind w:left="69"/>
      <w:jc w:val="center"/>
    </w:pPr>
    <w:rPr>
      <w:rFonts w:ascii="宋体" w:hAnsi="宋体" w:eastAsia="宋体" w:cs="宋体"/>
      <w:sz w:val="114"/>
      <w:szCs w:val="114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486" w:hanging="323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272</Characters>
  <TotalTime>177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2023-08-04T01:54:00Z</dcterms:created>
  <dc:creator>Administrator</dc:creator>
  <cp:lastModifiedBy>Winter</cp:lastModifiedBy>
  <dcterms:modified xsi:type="dcterms:W3CDTF">2023-08-04T07:16:37Z</dcterms:modified>
  <dc:title>&lt;4D6963726F736F667420576F7264202D2032303233C4EA37D4C2C8ABD6DDD6D8B5E3CFEEC4BFBDA8C9E8C7E9BFF6D7A8B1A8345F315F323032332E382E325F31&gt;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994FD09E12284FFDB1580CC6A86D15CA_13</vt:lpwstr>
  </property>
</Properties>
</file>